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4501D457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 xml:space="preserve">Wójt/Burmistrz/Prezydent miasta (do uzupełnienia dane adresowe urzędu)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5DB27929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Wójtem/Burmistrzem/Prezydentem miasta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4270A7">
              <w:rPr>
                <w:rFonts w:ascii="Arial" w:hAnsi="Arial" w:cs="Arial"/>
                <w:sz w:val="18"/>
                <w:szCs w:val="18"/>
              </w:rPr>
              <w:t>, Nowa Sucha 59A,</w:t>
            </w:r>
          </w:p>
          <w:p w14:paraId="22DEFD67" w14:textId="5FAC1449" w:rsidR="004270A7" w:rsidRDefault="004270A7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96-513 Nowa Sucha.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67931360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Wójt/Burmistrz/Prezydent miasta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4270A7">
              <w:rPr>
                <w:rFonts w:ascii="Arial" w:hAnsi="Arial" w:cs="Arial"/>
                <w:sz w:val="18"/>
                <w:szCs w:val="18"/>
              </w:rPr>
              <w:t xml:space="preserve">ć poprzez  e-mail </w:t>
            </w:r>
          </w:p>
          <w:p w14:paraId="105B486F" w14:textId="421160FC" w:rsidR="004270A7" w:rsidRDefault="004270A7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gmina@nowasucha.pl</w:t>
            </w:r>
            <w:bookmarkStart w:id="0" w:name="_GoBack"/>
            <w:bookmarkEnd w:id="0"/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18F675C9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F359A30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Wójta/Burmistrza/Prezydenta miasta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3CDE9D86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4088CAE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4270A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4270A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270A7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Alina Bodych</cp:lastModifiedBy>
  <cp:revision>2</cp:revision>
  <cp:lastPrinted>2019-03-13T11:18:00Z</cp:lastPrinted>
  <dcterms:created xsi:type="dcterms:W3CDTF">2019-07-01T06:39:00Z</dcterms:created>
  <dcterms:modified xsi:type="dcterms:W3CDTF">2019-07-01T06:39:00Z</dcterms:modified>
</cp:coreProperties>
</file>